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F8" w:rsidRDefault="00E860F8" w:rsidP="00E860F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ПАСКИНСКОГО СЕЛЬСКОГО ПОСЕЛЕНИЯ КИЛЬМЕЗСКОГО РАЙОНА КИРОВСКОЙ ОБЛАСТИ</w:t>
      </w:r>
    </w:p>
    <w:p w:rsidR="00E860F8" w:rsidRDefault="00E860F8" w:rsidP="00E860F8">
      <w:pPr>
        <w:jc w:val="center"/>
        <w:rPr>
          <w:b/>
          <w:sz w:val="28"/>
          <w:szCs w:val="28"/>
        </w:rPr>
      </w:pPr>
    </w:p>
    <w:p w:rsidR="00E860F8" w:rsidRDefault="00E860F8" w:rsidP="00E860F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860F8" w:rsidRDefault="00E860F8" w:rsidP="00E860F8">
      <w:pPr>
        <w:jc w:val="both"/>
        <w:rPr>
          <w:sz w:val="28"/>
          <w:szCs w:val="28"/>
        </w:rPr>
      </w:pPr>
    </w:p>
    <w:p w:rsidR="00E860F8" w:rsidRDefault="00E860F8" w:rsidP="00E860F8">
      <w:pPr>
        <w:rPr>
          <w:sz w:val="28"/>
          <w:szCs w:val="28"/>
        </w:rPr>
      </w:pPr>
      <w:r>
        <w:rPr>
          <w:sz w:val="28"/>
          <w:szCs w:val="28"/>
        </w:rPr>
        <w:t>07.12.2023                                                                                                 № 89</w:t>
      </w:r>
    </w:p>
    <w:p w:rsidR="00E860F8" w:rsidRDefault="00E860F8" w:rsidP="00E860F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аска</w:t>
      </w:r>
      <w:proofErr w:type="spellEnd"/>
    </w:p>
    <w:p w:rsidR="00E860F8" w:rsidRDefault="00E860F8" w:rsidP="00E860F8">
      <w:pPr>
        <w:jc w:val="center"/>
        <w:rPr>
          <w:sz w:val="28"/>
          <w:szCs w:val="28"/>
        </w:rPr>
      </w:pPr>
    </w:p>
    <w:p w:rsidR="00E860F8" w:rsidRDefault="00E860F8" w:rsidP="00E860F8">
      <w:pPr>
        <w:jc w:val="center"/>
        <w:rPr>
          <w:sz w:val="28"/>
          <w:szCs w:val="28"/>
        </w:rPr>
      </w:pPr>
    </w:p>
    <w:p w:rsidR="00E860F8" w:rsidRDefault="00E860F8" w:rsidP="00E8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</w:p>
    <w:p w:rsidR="00E860F8" w:rsidRDefault="00E860F8" w:rsidP="00E860F8">
      <w:pPr>
        <w:jc w:val="center"/>
        <w:rPr>
          <w:color w:val="FF0000"/>
          <w:sz w:val="28"/>
          <w:szCs w:val="28"/>
        </w:rPr>
      </w:pPr>
    </w:p>
    <w:p w:rsidR="00E860F8" w:rsidRDefault="00E860F8" w:rsidP="00E860F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целях реализации статьи 18 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главных администраторов доходов бюджета сельского поселения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перечень) согласно приложению. </w:t>
      </w:r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изменения в состав закрепленных за главными администраторами доходов бюджета сельского поселения кодов видов (подвидов) доходов бюджета сельского поселения вносятся на основании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без внесения изменений в перечень в следующих случаях:</w:t>
      </w:r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 выделении бюджету сельского поселения дополнительных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из районного бюджета в соответствии с решениями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изменении структуры органов исполнительной власти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(или) полномочий по оказанию муниципальных услуг и иных полномочий по исполнению муниципальных функций, при реализации которых возникают обязанности юридических и физических лиц по перечислению средств в  бюджет сельского поселения в соответствии с нормативными правовыми актами 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подготовку нормативного правового акта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 изменении закрепленных за главными администраторами доходов бюджета сельского поселения кодов видов (подвидов) доходов бюджета  сельского поселения в срок, не превышающий 10 календарных дней со дня поступления предложений органов исполнительной власти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которых указываются реквизиты нормативных правовых актов, устанавливающих правовые основания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внесения соответствующих изменений, а также код и наименование кода поступлений в бюджет, группы, подгруппы, статьи, подстатьи, элемента, группы подвида и аналитической группы подвида доходов.</w:t>
      </w:r>
    </w:p>
    <w:p w:rsidR="00E860F8" w:rsidRDefault="00E860F8" w:rsidP="00E860F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иных случаях, не предусмотренных настоящим постановлением, изменения в перечень вносятся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подготовку проекта которого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860F8" w:rsidRDefault="00E860F8" w:rsidP="00E860F8">
      <w:pPr>
        <w:autoSpaceDE w:val="0"/>
        <w:autoSpaceDN w:val="0"/>
        <w:adjustRightInd w:val="0"/>
        <w:jc w:val="both"/>
        <w:rPr>
          <w:color w:val="3C3C3C"/>
          <w:sz w:val="28"/>
          <w:szCs w:val="28"/>
          <w:shd w:val="clear" w:color="auto" w:fill="FFFFFF"/>
        </w:rPr>
      </w:pPr>
      <w:r>
        <w:rPr>
          <w:color w:val="3C3C3C"/>
          <w:sz w:val="28"/>
          <w:szCs w:val="28"/>
          <w:shd w:val="clear" w:color="auto" w:fill="FFFFFF"/>
        </w:rPr>
        <w:t xml:space="preserve">         5. Признать утратившим силу: </w:t>
      </w:r>
    </w:p>
    <w:p w:rsidR="00E860F8" w:rsidRDefault="00E860F8" w:rsidP="00E860F8">
      <w:pPr>
        <w:jc w:val="both"/>
        <w:rPr>
          <w:sz w:val="28"/>
          <w:szCs w:val="28"/>
        </w:rPr>
      </w:pPr>
      <w:r>
        <w:rPr>
          <w:color w:val="3C3C3C"/>
          <w:sz w:val="28"/>
          <w:szCs w:val="28"/>
          <w:shd w:val="clear" w:color="auto" w:fill="FFFFFF"/>
        </w:rPr>
        <w:t xml:space="preserve">         5.1. Постановление администрации </w:t>
      </w:r>
      <w:proofErr w:type="spellStart"/>
      <w:r>
        <w:rPr>
          <w:color w:val="3C3C3C"/>
          <w:sz w:val="28"/>
          <w:szCs w:val="28"/>
          <w:shd w:val="clear" w:color="auto" w:fill="FFFFFF"/>
        </w:rPr>
        <w:t>Паскинского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сельского поселения от 29.11.2022г. № 48 «</w:t>
      </w: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sz w:val="28"/>
          <w:szCs w:val="28"/>
        </w:rPr>
        <w:t>».</w:t>
      </w:r>
    </w:p>
    <w:p w:rsidR="00E860F8" w:rsidRDefault="00E860F8" w:rsidP="00E8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</w:t>
      </w:r>
      <w:r>
        <w:rPr>
          <w:color w:val="3C3C3C"/>
          <w:sz w:val="28"/>
          <w:szCs w:val="28"/>
          <w:shd w:val="clear" w:color="auto" w:fill="FFFFFF"/>
        </w:rPr>
        <w:t xml:space="preserve"> Постановление администрации </w:t>
      </w:r>
      <w:proofErr w:type="spellStart"/>
      <w:r>
        <w:rPr>
          <w:color w:val="3C3C3C"/>
          <w:sz w:val="28"/>
          <w:szCs w:val="28"/>
          <w:shd w:val="clear" w:color="auto" w:fill="FFFFFF"/>
        </w:rPr>
        <w:t>Паскинского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сельского поселения от 06.03.2023г. № 16</w:t>
      </w:r>
      <w:proofErr w:type="gramStart"/>
      <w:r>
        <w:rPr>
          <w:color w:val="3C3C3C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lastRenderedPageBreak/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от 29.11.2022 № 48 «Об утверждении перечня главных администраторов доходов бюджета сельского поселения».</w:t>
      </w:r>
    </w:p>
    <w:p w:rsidR="00E860F8" w:rsidRDefault="00E860F8" w:rsidP="00E86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</w:t>
      </w:r>
      <w:r>
        <w:rPr>
          <w:color w:val="3C3C3C"/>
          <w:sz w:val="28"/>
          <w:szCs w:val="28"/>
          <w:shd w:val="clear" w:color="auto" w:fill="FFFFFF"/>
        </w:rPr>
        <w:t xml:space="preserve"> Постановление администрации </w:t>
      </w:r>
      <w:proofErr w:type="spellStart"/>
      <w:r>
        <w:rPr>
          <w:color w:val="3C3C3C"/>
          <w:sz w:val="28"/>
          <w:szCs w:val="28"/>
          <w:shd w:val="clear" w:color="auto" w:fill="FFFFFF"/>
        </w:rPr>
        <w:t>Паскинского</w:t>
      </w:r>
      <w:proofErr w:type="spellEnd"/>
      <w:r>
        <w:rPr>
          <w:color w:val="3C3C3C"/>
          <w:sz w:val="28"/>
          <w:szCs w:val="28"/>
          <w:shd w:val="clear" w:color="auto" w:fill="FFFFFF"/>
        </w:rPr>
        <w:t xml:space="preserve"> сельского поселения от 01.12.2023г. № 85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от 29.11.2022 № 48 «Об утверждении перечня главных администраторов доходов бюджета сельского поселения»</w:t>
      </w:r>
    </w:p>
    <w:p w:rsidR="00E860F8" w:rsidRDefault="00E860F8" w:rsidP="00E860F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сельского поселения, начиная с бюджета сельского поселения на 2024 год и на плановый период 2025 и 2026 годов. </w:t>
      </w:r>
    </w:p>
    <w:p w:rsidR="00E860F8" w:rsidRDefault="00E860F8" w:rsidP="00E860F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F8" w:rsidRDefault="00E860F8" w:rsidP="00E860F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860F8" w:rsidRDefault="00E860F8" w:rsidP="00E860F8">
      <w:pPr>
        <w:pStyle w:val="ConsPlusNonformat"/>
        <w:widowControl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:rsidR="00E860F8" w:rsidRDefault="00E860F8" w:rsidP="00E860F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60F8" w:rsidRDefault="00E860F8" w:rsidP="00E860F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60F8" w:rsidRDefault="00E860F8" w:rsidP="00E860F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E860F8" w:rsidRDefault="00E860F8" w:rsidP="00E860F8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E860F8" w:rsidRDefault="00E860F8" w:rsidP="00E860F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E860F8" w:rsidRDefault="00E860F8" w:rsidP="00E860F8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E860F8" w:rsidRDefault="00E860F8" w:rsidP="00E860F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E860F8" w:rsidRDefault="00E860F8" w:rsidP="00E860F8">
      <w:pPr>
        <w:jc w:val="right"/>
        <w:rPr>
          <w:sz w:val="20"/>
          <w:szCs w:val="20"/>
        </w:rPr>
      </w:pPr>
      <w:r>
        <w:rPr>
          <w:sz w:val="20"/>
          <w:szCs w:val="20"/>
        </w:rPr>
        <w:t>от 07.12.2023 №89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</w:tblGrid>
      <w:tr w:rsidR="00E860F8" w:rsidTr="00E860F8">
        <w:tc>
          <w:tcPr>
            <w:tcW w:w="4647" w:type="dxa"/>
          </w:tcPr>
          <w:p w:rsidR="00E860F8" w:rsidRDefault="00E860F8">
            <w:pPr>
              <w:widowControl w:val="0"/>
              <w:tabs>
                <w:tab w:val="num" w:pos="5760"/>
              </w:tabs>
              <w:autoSpaceDE w:val="0"/>
              <w:autoSpaceDN w:val="0"/>
              <w:adjustRightInd w:val="0"/>
              <w:spacing w:before="240" w:after="60"/>
              <w:ind w:left="5760" w:hanging="360"/>
              <w:jc w:val="right"/>
              <w:outlineLvl w:val="7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E860F8" w:rsidRDefault="00E860F8" w:rsidP="00E860F8">
      <w:pPr>
        <w:keepNext/>
        <w:jc w:val="center"/>
        <w:outlineLvl w:val="7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ПЕРЕЧЕНЬ </w:t>
      </w:r>
    </w:p>
    <w:p w:rsidR="00E860F8" w:rsidRDefault="00E860F8" w:rsidP="00E86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 бюджета</w:t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Паскинского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860F8" w:rsidRDefault="00E860F8" w:rsidP="00E860F8">
      <w:pPr>
        <w:jc w:val="center"/>
        <w:rPr>
          <w:b/>
        </w:rPr>
      </w:pPr>
    </w:p>
    <w:tbl>
      <w:tblPr>
        <w:tblW w:w="0" w:type="auto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5744"/>
      </w:tblGrid>
      <w:tr w:rsidR="00E860F8" w:rsidTr="00E860F8">
        <w:trPr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bCs/>
              </w:rPr>
            </w:pPr>
            <w:r>
              <w:rPr>
                <w:bCs/>
              </w:rPr>
              <w:t>Код главного</w:t>
            </w:r>
          </w:p>
          <w:p w:rsidR="00E860F8" w:rsidRDefault="00E860F8">
            <w:pPr>
              <w:jc w:val="center"/>
              <w:rPr>
                <w:b/>
                <w:sz w:val="28"/>
              </w:rPr>
            </w:pPr>
            <w:r>
              <w:rPr>
                <w:bCs/>
              </w:rPr>
              <w:t>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ind w:left="-34"/>
              <w:jc w:val="center"/>
              <w:rPr>
                <w:bCs/>
              </w:rPr>
            </w:pPr>
            <w:r>
              <w:rPr>
                <w:bCs/>
              </w:rPr>
              <w:t>Наименование доходного источника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8" w:rsidRDefault="00E860F8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 xml:space="preserve">Управление Федеральной налоговой службы </w:t>
            </w:r>
            <w:r>
              <w:rPr>
                <w:b/>
                <w:bCs/>
                <w:snapToGrid w:val="0"/>
              </w:rPr>
              <w:br/>
              <w:t>по Кировской области</w:t>
            </w:r>
          </w:p>
        </w:tc>
      </w:tr>
      <w:tr w:rsidR="00E860F8" w:rsidTr="00E860F8">
        <w:trPr>
          <w:trHeight w:val="1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jc w:val="both"/>
              <w:rPr>
                <w:snapToGrid w:val="0"/>
              </w:rPr>
            </w:pPr>
          </w:p>
          <w:p w:rsidR="00E860F8" w:rsidRDefault="00E860F8">
            <w:pPr>
              <w:jc w:val="both"/>
              <w:rPr>
                <w:snapToGrid w:val="0"/>
              </w:rPr>
            </w:pPr>
          </w:p>
          <w:p w:rsidR="00E860F8" w:rsidRDefault="00E860F8">
            <w:pPr>
              <w:jc w:val="both"/>
              <w:rPr>
                <w:snapToGrid w:val="0"/>
              </w:rPr>
            </w:pPr>
          </w:p>
          <w:p w:rsidR="00E860F8" w:rsidRDefault="00E860F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 w:rsidP="00E860F8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  <w:snapToGrid w:val="0"/>
              </w:rPr>
              <w:t xml:space="preserve">Налог на доходы физических лиц с доходов, источником которых является налоговый агент, </w:t>
            </w:r>
            <w:r>
              <w:rPr>
                <w:bCs/>
                <w:snapToGrid w:val="0"/>
              </w:rPr>
              <w:br/>
              <w:t xml:space="preserve">за исключением доходов, в отношении которых исчисление и уплата налога осуществляются </w:t>
            </w:r>
            <w:r>
              <w:rPr>
                <w:bCs/>
                <w:snapToGrid w:val="0"/>
              </w:rPr>
              <w:br/>
              <w:t>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</w:t>
            </w:r>
            <w:r>
              <w:rPr>
                <w:bCs/>
                <w:snapToGrid w:val="0"/>
              </w:rPr>
              <w:t>д</w:t>
            </w:r>
            <w:bookmarkStart w:id="0" w:name="_GoBack"/>
            <w:bookmarkEnd w:id="0"/>
            <w:r>
              <w:rPr>
                <w:bCs/>
                <w:snapToGrid w:val="0"/>
              </w:rPr>
              <w:t>ов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snapToGrid w:val="0"/>
              </w:rPr>
              <w:t>1 01 02020 01 0000 110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>
              <w:rPr>
                <w:snapToGrid w:val="0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>
              <w:rPr>
                <w:snapToGrid w:val="0"/>
              </w:rPr>
              <w:br/>
              <w:t xml:space="preserve">и других лиц, занимающихся частной практикой </w:t>
            </w:r>
            <w:r>
              <w:rPr>
                <w:snapToGrid w:val="0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snapToGrid w:val="0"/>
              </w:rPr>
              <w:t>1 01 02030 01 0000 110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  <w:snapToGrid w:val="0"/>
              </w:rPr>
              <w:t xml:space="preserve">Налог на доходы физических лиц с доходов, полученных физическими лицами в соответствии </w:t>
            </w:r>
            <w:r>
              <w:rPr>
                <w:bCs/>
                <w:snapToGrid w:val="0"/>
              </w:rPr>
              <w:br/>
              <w:t>со статьей 228 Налогового кодекса Российской Федерации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</w:r>
            <w:r>
              <w:rPr>
                <w:bCs/>
                <w:snapToGrid w:val="0"/>
              </w:rPr>
              <w:lastRenderedPageBreak/>
              <w:t>в целях формирования дорожных фондов субъектов Российской Федерации)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</w:rPr>
              <w:t>инжекторных</w:t>
            </w:r>
            <w:proofErr w:type="spellEnd"/>
            <w:r>
              <w:rPr>
                <w:snapToGrid w:val="0"/>
              </w:rPr>
              <w:t xml:space="preserve">) двигателей, подлежащие распределению между бюджетами субъектов Российской Федерации </w:t>
            </w:r>
            <w:r>
              <w:rPr>
                <w:snapToGrid w:val="0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>
              <w:rPr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1 06 01030 10 0000 110</w:t>
            </w:r>
          </w:p>
          <w:p w:rsidR="00E860F8" w:rsidRDefault="00E860F8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  <w:p w:rsidR="00E860F8" w:rsidRDefault="00E860F8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  <w:p w:rsidR="00E860F8" w:rsidRDefault="00E860F8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  <w:p w:rsidR="00E860F8" w:rsidRDefault="00E860F8">
            <w:pPr>
              <w:keepNext/>
              <w:spacing w:before="240" w:after="60"/>
              <w:outlineLvl w:val="3"/>
              <w:rPr>
                <w:bCs/>
              </w:rPr>
            </w:pP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  <w:p w:rsidR="00E860F8" w:rsidRDefault="00E860F8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986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b/>
                <w:bCs/>
                <w:szCs w:val="28"/>
              </w:rPr>
              <w:t>Паскинское</w:t>
            </w:r>
            <w:proofErr w:type="spellEnd"/>
            <w:r>
              <w:rPr>
                <w:b/>
                <w:bCs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Cs w:val="28"/>
              </w:rPr>
              <w:t>Кильмезского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Кировской области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1 08 04020 01 1000 110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Государственная пошлина за совершение </w:t>
            </w:r>
            <w:r>
              <w:rPr>
                <w:bCs/>
                <w:szCs w:val="28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недоимка, задолженность по соответствующему налогу, в том числе по отмененному)</w:t>
            </w:r>
            <w:proofErr w:type="gramEnd"/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1 11 05025 10 0000 120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</w:rPr>
            </w:pPr>
            <w:proofErr w:type="gramStart"/>
            <w:r>
              <w:rPr>
                <w:bCs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</w:pPr>
            <w:r>
              <w:t>1 11 09045 10 0000 120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t>1 13 02995 10 0000 130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t>Прочие доходы от компенсации затрат бюджетов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114 02053 10 0000 410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E860F8" w:rsidRDefault="00E860F8">
            <w:pPr>
              <w:rPr>
                <w:color w:val="000000"/>
              </w:rPr>
            </w:pP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t>1 14 02053 10 0000 440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E860F8" w:rsidRDefault="00E860F8">
            <w:pPr>
              <w:rPr>
                <w:color w:val="000000"/>
              </w:rPr>
            </w:pP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1 17 14030 10 0000 150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</w:pPr>
            <w:r>
              <w:t>2 02 16001 10 0000 150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i/>
                <w:szCs w:val="28"/>
              </w:rPr>
            </w:pPr>
            <w:r>
              <w:rPr>
                <w:bCs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bCs/>
              </w:rPr>
            </w:pPr>
            <w:r>
              <w:t>2 02 16549 10 0000 150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tabs>
                <w:tab w:val="center" w:pos="4153"/>
                <w:tab w:val="right" w:pos="8306"/>
              </w:tabs>
              <w:rPr>
                <w:bCs/>
              </w:rPr>
            </w:pPr>
            <w:r>
              <w:rPr>
                <w:bCs/>
                <w:szCs w:val="28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F8" w:rsidRDefault="00E860F8">
            <w:pPr>
              <w:jc w:val="center"/>
              <w:rPr>
                <w:bCs/>
              </w:rPr>
            </w:pPr>
          </w:p>
          <w:p w:rsidR="00E860F8" w:rsidRDefault="00E860F8">
            <w:pPr>
              <w:jc w:val="center"/>
              <w:rPr>
                <w:bCs/>
              </w:rPr>
            </w:pPr>
            <w:r>
              <w:rPr>
                <w:bCs/>
              </w:rPr>
              <w:t>2 02 29999 10 0000 150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tabs>
                <w:tab w:val="center" w:pos="4153"/>
                <w:tab w:val="right" w:pos="8306"/>
              </w:tabs>
              <w:rPr>
                <w:bCs/>
              </w:rPr>
            </w:pPr>
          </w:p>
          <w:p w:rsidR="00E860F8" w:rsidRDefault="00E860F8">
            <w:pPr>
              <w:tabs>
                <w:tab w:val="center" w:pos="4153"/>
                <w:tab w:val="right" w:pos="8306"/>
              </w:tabs>
              <w:rPr>
                <w:bCs/>
              </w:rPr>
            </w:pPr>
            <w:r>
              <w:rPr>
                <w:bCs/>
              </w:rPr>
              <w:t xml:space="preserve">Прочие субсидии бюджетам сельских поселений 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2 04 05099 10 0000 150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F8" w:rsidRDefault="00E860F8">
            <w:pPr>
              <w:keepNext/>
              <w:outlineLvl w:val="0"/>
            </w:pPr>
          </w:p>
          <w:p w:rsidR="00E860F8" w:rsidRDefault="00E860F8">
            <w:pPr>
              <w:keepNext/>
              <w:outlineLvl w:val="0"/>
            </w:pPr>
            <w:r>
              <w:t>Прочие безвозмездные поступления в бюджеты сельских поселений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860F8" w:rsidTr="00E860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F8" w:rsidRDefault="00E860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F8" w:rsidRDefault="00E860F8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860F8" w:rsidRDefault="00E860F8" w:rsidP="00E860F8">
      <w:pPr>
        <w:autoSpaceDE w:val="0"/>
        <w:autoSpaceDN w:val="0"/>
        <w:adjustRightInd w:val="0"/>
        <w:jc w:val="center"/>
        <w:rPr>
          <w:rFonts w:eastAsia="MS Mincho"/>
          <w:bCs/>
          <w:sz w:val="28"/>
          <w:szCs w:val="20"/>
        </w:rPr>
      </w:pPr>
    </w:p>
    <w:p w:rsidR="00E860F8" w:rsidRDefault="00E860F8" w:rsidP="00E860F8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0"/>
        </w:rPr>
      </w:pPr>
    </w:p>
    <w:p w:rsidR="00E860F8" w:rsidRDefault="00E860F8" w:rsidP="00E860F8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0"/>
        </w:rPr>
      </w:pPr>
    </w:p>
    <w:p w:rsidR="00D154BD" w:rsidRDefault="00D154BD"/>
    <w:sectPr w:rsidR="00D1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7"/>
    <w:rsid w:val="00D154BD"/>
    <w:rsid w:val="00DA4737"/>
    <w:rsid w:val="00E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6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2023-12-12T05:23:00Z</dcterms:created>
  <dcterms:modified xsi:type="dcterms:W3CDTF">2023-12-12T05:25:00Z</dcterms:modified>
</cp:coreProperties>
</file>