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E5" w:rsidRPr="00B4538B" w:rsidRDefault="00F818E5" w:rsidP="00B453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B4538B">
        <w:rPr>
          <w:rFonts w:ascii="Times New Roman" w:hAnsi="Times New Roman" w:cs="Times New Roman"/>
          <w:sz w:val="32"/>
          <w:szCs w:val="32"/>
        </w:rPr>
        <w:t>ПРОЕКТ</w:t>
      </w:r>
    </w:p>
    <w:p w:rsidR="00F818E5" w:rsidRDefault="00F818E5" w:rsidP="00F818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18E5" w:rsidRPr="00B4538B" w:rsidRDefault="00F818E5" w:rsidP="00F818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38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B4538B" w:rsidRPr="00B4538B">
        <w:rPr>
          <w:rFonts w:ascii="Times New Roman" w:hAnsi="Times New Roman" w:cs="Times New Roman"/>
          <w:b/>
          <w:bCs/>
          <w:sz w:val="28"/>
          <w:szCs w:val="28"/>
        </w:rPr>
        <w:t>ПАСКИНСКОГО</w:t>
      </w:r>
      <w:r w:rsidRPr="00B4538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818E5" w:rsidRPr="00B4538B" w:rsidRDefault="00F818E5" w:rsidP="00F818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38B">
        <w:rPr>
          <w:rFonts w:ascii="Times New Roman" w:hAnsi="Times New Roman" w:cs="Times New Roman"/>
          <w:b/>
          <w:bCs/>
          <w:sz w:val="28"/>
          <w:szCs w:val="28"/>
        </w:rPr>
        <w:t>КИЛЬМЕЗСКОГО РАЙОНА КИРОВСКОЙ ОБЛАСТИ</w:t>
      </w:r>
    </w:p>
    <w:p w:rsidR="00F818E5" w:rsidRPr="00F818E5" w:rsidRDefault="00F818E5" w:rsidP="00F818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818E5" w:rsidRPr="00B4538B" w:rsidRDefault="00F818E5" w:rsidP="00F818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38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818E5" w:rsidRPr="00F818E5" w:rsidRDefault="00F818E5" w:rsidP="00F818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8E5">
        <w:rPr>
          <w:rFonts w:ascii="Times New Roman" w:hAnsi="Times New Roman" w:cs="Times New Roman"/>
          <w:b/>
          <w:bCs/>
          <w:sz w:val="28"/>
          <w:szCs w:val="28"/>
        </w:rPr>
        <w:t xml:space="preserve">00.04.2022                                              </w:t>
      </w:r>
      <w:proofErr w:type="spellStart"/>
      <w:r w:rsidR="00EF6D0C">
        <w:rPr>
          <w:rFonts w:ascii="Times New Roman" w:hAnsi="Times New Roman" w:cs="Times New Roman"/>
          <w:b/>
          <w:bCs/>
          <w:sz w:val="28"/>
          <w:szCs w:val="28"/>
        </w:rPr>
        <w:t>д.П</w:t>
      </w:r>
      <w:bookmarkStart w:id="0" w:name="_GoBack"/>
      <w:bookmarkEnd w:id="0"/>
      <w:r w:rsidR="00EF6D0C">
        <w:rPr>
          <w:rFonts w:ascii="Times New Roman" w:hAnsi="Times New Roman" w:cs="Times New Roman"/>
          <w:b/>
          <w:bCs/>
          <w:sz w:val="28"/>
          <w:szCs w:val="28"/>
        </w:rPr>
        <w:t>аска</w:t>
      </w:r>
      <w:proofErr w:type="spellEnd"/>
      <w:r w:rsidRPr="00F818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№ 00</w:t>
      </w:r>
    </w:p>
    <w:p w:rsidR="00F818E5" w:rsidRPr="00992E6A" w:rsidRDefault="00F818E5" w:rsidP="00F818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8E5" w:rsidRPr="00992E6A" w:rsidRDefault="00F818E5" w:rsidP="00F818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E6A">
        <w:rPr>
          <w:rFonts w:ascii="Times New Roman" w:hAnsi="Times New Roman" w:cs="Times New Roman"/>
          <w:b/>
          <w:bCs/>
          <w:sz w:val="24"/>
          <w:szCs w:val="24"/>
        </w:rPr>
        <w:t>ОБ УТВЕРЖДЕНИИ МЕСТНЫХ НОРМАТИВОВ ГРАДОСТРОИТЕЛЬНОГО</w:t>
      </w:r>
      <w:r w:rsidR="00B45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E6A">
        <w:rPr>
          <w:rFonts w:ascii="Times New Roman" w:hAnsi="Times New Roman" w:cs="Times New Roman"/>
          <w:b/>
          <w:bCs/>
          <w:sz w:val="24"/>
          <w:szCs w:val="24"/>
        </w:rPr>
        <w:t xml:space="preserve">ПРОЕКТИРОВАНИЯ МУНИЦИПАЛЬНОГО ОБРАЗОВАНИЯ </w:t>
      </w:r>
      <w:r w:rsidR="00B4538B">
        <w:rPr>
          <w:rFonts w:ascii="Times New Roman" w:hAnsi="Times New Roman" w:cs="Times New Roman"/>
          <w:b/>
          <w:bCs/>
          <w:sz w:val="24"/>
          <w:szCs w:val="24"/>
        </w:rPr>
        <w:t xml:space="preserve">ПАСКИНСКОЕ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СЕЛЬСКОЕ</w:t>
      </w:r>
      <w:r w:rsidRPr="00F818E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КИЛЬМЕЗСКОГО</w:t>
      </w:r>
      <w:r w:rsidRPr="00F818E5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992E6A">
        <w:rPr>
          <w:rFonts w:ascii="Times New Roman" w:hAnsi="Times New Roman" w:cs="Times New Roman"/>
          <w:b/>
          <w:bCs/>
          <w:sz w:val="24"/>
          <w:szCs w:val="24"/>
        </w:rPr>
        <w:t xml:space="preserve"> КИРОВСКОЙ ОБЛАСТИ</w:t>
      </w:r>
    </w:p>
    <w:p w:rsidR="00F818E5" w:rsidRPr="00992E6A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P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 w:rsidRPr="00992E6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92E6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92E6A">
        <w:rPr>
          <w:rFonts w:ascii="Times New Roman" w:hAnsi="Times New Roman" w:cs="Times New Roman"/>
          <w:sz w:val="24"/>
          <w:szCs w:val="24"/>
        </w:rPr>
        <w:t xml:space="preserve"> Кировской области от 28.09.2006 N 44-ЗО "О регулировании градостроительной деятельности в Кировской области", </w:t>
      </w:r>
      <w:hyperlink r:id="rId9" w:history="1">
        <w:r w:rsidRPr="00992E6A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992E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B4538B">
        <w:rPr>
          <w:rFonts w:ascii="Times New Roman" w:hAnsi="Times New Roman" w:cs="Times New Roman"/>
          <w:sz w:val="24"/>
          <w:szCs w:val="24"/>
        </w:rPr>
        <w:t>Паскинское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818E5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992E6A">
        <w:rPr>
          <w:rFonts w:ascii="Times New Roman" w:hAnsi="Times New Roman" w:cs="Times New Roman"/>
          <w:sz w:val="24"/>
          <w:szCs w:val="24"/>
        </w:rPr>
        <w:t xml:space="preserve"> района Кировской области администрация </w:t>
      </w:r>
      <w:proofErr w:type="spellStart"/>
      <w:r w:rsid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92E6A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8E5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F818E5" w:rsidRPr="00992E6A" w:rsidRDefault="00F818E5" w:rsidP="00F818E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6A">
        <w:rPr>
          <w:rFonts w:ascii="Times New Roman" w:hAnsi="Times New Roman" w:cs="Times New Roman"/>
          <w:sz w:val="24"/>
          <w:szCs w:val="24"/>
        </w:rPr>
        <w:t xml:space="preserve">Утвердить местные </w:t>
      </w:r>
      <w:hyperlink r:id="rId10" w:history="1">
        <w:r w:rsidRPr="00992E6A">
          <w:rPr>
            <w:rFonts w:ascii="Times New Roman" w:hAnsi="Times New Roman" w:cs="Times New Roman"/>
            <w:color w:val="0000FF"/>
            <w:sz w:val="24"/>
            <w:szCs w:val="24"/>
          </w:rPr>
          <w:t>нормативы</w:t>
        </w:r>
      </w:hyperlink>
      <w:r w:rsidRPr="00992E6A">
        <w:rPr>
          <w:rFonts w:ascii="Times New Roman" w:hAnsi="Times New Roman" w:cs="Times New Roman"/>
          <w:sz w:val="24"/>
          <w:szCs w:val="24"/>
        </w:rPr>
        <w:t xml:space="preserve"> градостроительного проектирования муниципального образования </w:t>
      </w:r>
      <w:proofErr w:type="spellStart"/>
      <w:r w:rsidR="00B4538B" w:rsidRPr="00B4538B">
        <w:rPr>
          <w:rFonts w:ascii="Times New Roman" w:hAnsi="Times New Roman" w:cs="Times New Roman"/>
          <w:sz w:val="24"/>
          <w:szCs w:val="24"/>
        </w:rPr>
        <w:t>Паскинское</w:t>
      </w:r>
      <w:proofErr w:type="spellEnd"/>
      <w:r w:rsidR="008D1045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8D1045" w:rsidRPr="00F818E5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8D1045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8D1045" w:rsidRPr="00992E6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92E6A">
        <w:rPr>
          <w:rFonts w:ascii="Times New Roman" w:hAnsi="Times New Roman" w:cs="Times New Roman"/>
          <w:sz w:val="24"/>
          <w:szCs w:val="24"/>
        </w:rPr>
        <w:t>Кировской области. Прилагаются.</w:t>
      </w:r>
    </w:p>
    <w:p w:rsidR="00F818E5" w:rsidRDefault="00F818E5" w:rsidP="00F818E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данное решение в информационном бюллетене правовых актов органом местного самоуправления и на официальном сайте органов местного самоуправления </w:t>
      </w:r>
      <w:proofErr w:type="spellStart"/>
      <w:r w:rsid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8D104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D1045" w:rsidRPr="00F818E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D104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F818E5" w:rsidRPr="00992E6A" w:rsidRDefault="00F818E5" w:rsidP="00F818E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специалисту по градостроительной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утвержденные Нормативы разместить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F818E5" w:rsidRPr="00992E6A" w:rsidRDefault="00F818E5" w:rsidP="00F818E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6A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опубликования.</w:t>
      </w:r>
    </w:p>
    <w:p w:rsidR="00F818E5" w:rsidRPr="00992E6A" w:rsidRDefault="00F818E5" w:rsidP="00F818E5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Pr="00992E6A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8B" w:rsidRDefault="00B4538B" w:rsidP="00F81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</w:t>
      </w:r>
      <w:r w:rsidR="008D1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:rsidR="00F818E5" w:rsidRPr="00992E6A" w:rsidRDefault="008D1045" w:rsidP="00F81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</w:t>
      </w:r>
      <w:r w:rsidR="00B453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B4538B">
        <w:rPr>
          <w:rFonts w:ascii="Times New Roman" w:hAnsi="Times New Roman" w:cs="Times New Roman"/>
          <w:sz w:val="24"/>
          <w:szCs w:val="24"/>
        </w:rPr>
        <w:t>И.Таланцева</w:t>
      </w:r>
      <w:proofErr w:type="spellEnd"/>
    </w:p>
    <w:p w:rsidR="00F818E5" w:rsidRPr="00992E6A" w:rsidRDefault="00F818E5" w:rsidP="00F81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818E5" w:rsidRPr="008D1045" w:rsidRDefault="00B4538B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8D10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D1045" w:rsidRDefault="008D104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818E5" w:rsidRPr="008D104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04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045">
        <w:rPr>
          <w:rFonts w:ascii="Times New Roman" w:hAnsi="Times New Roman" w:cs="Times New Roman"/>
          <w:sz w:val="24"/>
          <w:szCs w:val="24"/>
        </w:rPr>
        <w:t xml:space="preserve">от </w:t>
      </w:r>
      <w:r w:rsidR="008D1045">
        <w:rPr>
          <w:rFonts w:ascii="Times New Roman" w:hAnsi="Times New Roman" w:cs="Times New Roman"/>
          <w:sz w:val="24"/>
          <w:szCs w:val="24"/>
        </w:rPr>
        <w:t>00.</w:t>
      </w:r>
      <w:r w:rsidRPr="008D1045">
        <w:rPr>
          <w:rFonts w:ascii="Times New Roman" w:hAnsi="Times New Roman" w:cs="Times New Roman"/>
          <w:sz w:val="24"/>
          <w:szCs w:val="24"/>
        </w:rPr>
        <w:t xml:space="preserve"> </w:t>
      </w:r>
      <w:r w:rsidR="008D1045">
        <w:rPr>
          <w:rFonts w:ascii="Times New Roman" w:hAnsi="Times New Roman" w:cs="Times New Roman"/>
          <w:sz w:val="24"/>
          <w:szCs w:val="24"/>
        </w:rPr>
        <w:t>04</w:t>
      </w:r>
      <w:r w:rsidRPr="008D1045">
        <w:rPr>
          <w:rFonts w:ascii="Times New Roman" w:hAnsi="Times New Roman" w:cs="Times New Roman"/>
          <w:sz w:val="24"/>
          <w:szCs w:val="24"/>
        </w:rPr>
        <w:t xml:space="preserve"> 202</w:t>
      </w:r>
      <w:r w:rsidR="008D1045">
        <w:rPr>
          <w:rFonts w:ascii="Times New Roman" w:hAnsi="Times New Roman" w:cs="Times New Roman"/>
          <w:sz w:val="24"/>
          <w:szCs w:val="24"/>
        </w:rPr>
        <w:t>2</w:t>
      </w:r>
      <w:r w:rsidRPr="008D1045">
        <w:rPr>
          <w:rFonts w:ascii="Times New Roman" w:hAnsi="Times New Roman" w:cs="Times New Roman"/>
          <w:sz w:val="24"/>
          <w:szCs w:val="24"/>
        </w:rPr>
        <w:t xml:space="preserve"> г. </w:t>
      </w:r>
      <w:r w:rsidR="008D1045">
        <w:rPr>
          <w:rFonts w:ascii="Times New Roman" w:hAnsi="Times New Roman" w:cs="Times New Roman"/>
          <w:sz w:val="24"/>
          <w:szCs w:val="24"/>
        </w:rPr>
        <w:t>№ 00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МЕСТНЫЕ НОРМАТИВЫ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ГРАДОСТРОИТЕЛЬНОГО ПРОЕКТИРОВАНИЯ</w:t>
      </w:r>
    </w:p>
    <w:p w:rsidR="00F818E5" w:rsidRDefault="00B4538B" w:rsidP="00F81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ПАСКИНСКОГО</w:t>
      </w:r>
      <w:r w:rsidR="00117DF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                                                                     КИЛЬМЕЗСКОГО</w:t>
      </w:r>
      <w:r w:rsidR="00F818E5" w:rsidRPr="00117DF7">
        <w:rPr>
          <w:rFonts w:ascii="Times New Roman" w:hAnsi="Times New Roman" w:cs="Times New Roman"/>
          <w:b/>
          <w:bCs/>
          <w:sz w:val="24"/>
          <w:szCs w:val="24"/>
        </w:rPr>
        <w:t xml:space="preserve"> РАЙОНА КИРОВСКОЙ ОБЛАСТИ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Область применения.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Местные нормативы градостроительного проектирования </w:t>
      </w:r>
      <w:proofErr w:type="spellStart"/>
      <w:r w:rsid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117D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7DF7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117DF7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местные нормативы) подготовлены в соответствии с требованиями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29.4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Кировской области от 28.09.2006 N 44-ЗО "О регулировании градостроительной деятельности в Кировской области" (далее - Закон области).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Законом области, населения </w:t>
      </w:r>
      <w:proofErr w:type="spellStart"/>
      <w:r w:rsid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117D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7DF7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 w:rsidR="00B4538B" w:rsidRP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117D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7DF7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Местные нормативы включают в себя следующие разделы: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Основная часть (расчетные показатели минимально допустимого уровня обеспеченности объектами, предусмотренными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населения </w:t>
      </w:r>
      <w:proofErr w:type="spellStart"/>
      <w:r w:rsidR="00B4538B" w:rsidRP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117D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7DF7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B4538B" w:rsidRP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117D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7DF7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Установленные в местных нормативах показатели применяются при подготовке изменений в схему территориального планирования </w:t>
      </w:r>
      <w:proofErr w:type="spellStart"/>
      <w:r w:rsidR="00B4538B" w:rsidRP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117D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7DF7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4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2. Основная часть.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1.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835"/>
        <w:gridCol w:w="2551"/>
      </w:tblGrid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Объект, 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доступности объектов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Автовокзалы для межмуниципального транспортного сообщения,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км</w:t>
            </w:r>
          </w:p>
        </w:tc>
      </w:tr>
    </w:tbl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2835"/>
        <w:gridCol w:w="2551"/>
      </w:tblGrid>
      <w:tr w:rsidR="00F818E5" w:rsidTr="003C37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организация, 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объектов</w:t>
            </w:r>
          </w:p>
        </w:tc>
      </w:tr>
      <w:tr w:rsidR="00F818E5" w:rsidTr="003C376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дошкольные организации, мест на 1 тыс.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E5" w:rsidTr="003C376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  <w:tr w:rsidR="00F818E5" w:rsidTr="003C376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пешеходной и 10 км транспортной доступности</w:t>
            </w:r>
          </w:p>
        </w:tc>
      </w:tr>
      <w:tr w:rsidR="00F818E5" w:rsidTr="003C376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школы, мест на 1 тыс.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E5" w:rsidTr="003C376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метров</w:t>
            </w:r>
          </w:p>
        </w:tc>
      </w:tr>
      <w:tr w:rsidR="00F818E5" w:rsidTr="003C376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I ступени обучения - 2 км пешеходной и 10 км транспортной доступности;</w:t>
            </w:r>
          </w:p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II -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ступеней - 4 км пешеходной и 10 км транспортной доступности</w:t>
            </w:r>
          </w:p>
        </w:tc>
      </w:tr>
      <w:tr w:rsidR="00F818E5" w:rsidTr="003C37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&lt;*&gt;.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Школы-интернаты, мест на 1 тыс.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км</w:t>
            </w:r>
          </w:p>
        </w:tc>
      </w:tr>
      <w:tr w:rsidR="00F818E5" w:rsidTr="003C37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&lt;*&gt;.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Межшкольный учебно-производственный комбинат, мест на 1 тыс.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км транспортной доступности</w:t>
            </w:r>
          </w:p>
        </w:tc>
      </w:tr>
      <w:tr w:rsidR="00F818E5" w:rsidTr="003C37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&lt;*&gt;.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учреждения, мест на 1 тыс.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 места, в том числе:</w:t>
            </w:r>
          </w:p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юных туристов - 4; спортивная школа - 20;</w:t>
            </w:r>
          </w:p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или музыкальная, художественная, хореографическая школа - 12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км</w:t>
            </w:r>
          </w:p>
        </w:tc>
      </w:tr>
    </w:tbl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 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Вместимость организаций в области образования и размеры их земельных участков следует принимать в соответствии с требованиями приложения Ж к СП 42.13330.2011.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Размеры земельных участков организаций в области образования, не указанных в приложении Ж к СП 42.13330.2011, следует принимать по заданию на проектирование.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Участки детских дошкольных организаций не должны примыкать непосредственно к магистральным улицам.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835"/>
        <w:gridCol w:w="2551"/>
      </w:tblGrid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объект,</w:t>
            </w:r>
          </w:p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объектов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&lt;*&gt;.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и сооружения для проведения районных официальных физкультурно-оздоровительных и спортивных мероприятий (включая физкультурно-оздоровительные комплексы),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объект на 5 тыс. жителей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&lt;*&gt;.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и сооружения муниципальных центров спортивной подготовки, спортивных школ, иные объекты спортивного назначения, находящиеся в муниципальной собственности или решение о создании которых принимают органы местного самоуправления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физкультурно-оздоровительных занятий, кв. метров общей площади на 1 тыс.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пользования, кв. м площади пола на 1 тыс.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</w:tr>
    </w:tbl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 1. Комплексы физкультурно-оздоровительных площадок предусматриваются в каждом поселении.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поселениях с числом жителей от 2 до 5 тыс. следует предусматривать один спортивный зал площадью 540 кв. метров.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к СП 42.13330.2011 или заданием на проектирование.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 Расчетные показатели минимально допустимого уровня обеспеченности объектами в области утилизации и переработки бытовых и промышленных отходов.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объектов, относящихся к области утилизации и переработки бытовых и промышленных отходов, и местоположение таких объектов принимаются в соответствии с Генеральной схемой очистки территорий населенных пунктов </w:t>
      </w:r>
      <w:proofErr w:type="spellStart"/>
      <w:r w:rsidR="00B4538B" w:rsidRP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117D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17DF7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DF7" w:rsidRDefault="00117DF7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DF7" w:rsidRDefault="00117DF7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835"/>
        <w:gridCol w:w="2551"/>
      </w:tblGrid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объект,</w:t>
            </w:r>
          </w:p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объектов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&lt;*&gt;.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Свалки,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км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&lt;*&gt;.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Полигон бытовых и промышленных отходов,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км</w:t>
            </w:r>
          </w:p>
        </w:tc>
      </w:tr>
    </w:tbl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таблицей 6.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835"/>
        <w:gridCol w:w="2551"/>
      </w:tblGrid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Объект,</w:t>
            </w:r>
          </w:p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доступности объектов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 рекреационного назначения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E5" w:rsidTr="003C376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населенного пункта: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площадь озелененных территорий общего пользования, кв. м/человек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E5" w:rsidTr="003C37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</w:tr>
      <w:tr w:rsidR="00F818E5" w:rsidTr="003C37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населенный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в области культуры и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Музеи,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 - 1 час транспортной доступности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Выставочные залы,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30 - 40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доступности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Административно-деловые объекты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архивы,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 1. Площадь городских парков следует принимать не менее 15 га; парков в жилых районах - не менее 3 га.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Время доступности парков должно составлять не более 20 минут.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приложением Ж к СП 42.13330.2011 или заданием на проектирование таких объектов.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2.6. Электроснабжение городских и сельских поселений.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городского и сельского поселения в области электроснабжения населения установлены с учетом Федерального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 марта 2003 г. N 35-ФЗ "Об электроэнергетике".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электрических нагрузок для разных типов застройки следует производить в соответствии с нормами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РД 34.20.185-94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(СО 153-34.20.185-94) и СП 31-110-2003.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Укрупненные показатели электропотребления для проживающего населения, приведенные в таблице 7, установлены на основании приложения Л к СП 42.13330.2016 "СНиП 2.07-89* Градостроительство. Планировка и застройка городских и сельских поселений" и рекомендованы для определения минимальной необходимой мощности объектов электроснабжения.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допустимый уровень территориальной доступности объектов электроснабжения не нормируется.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835"/>
        <w:gridCol w:w="2551"/>
      </w:tblGrid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Электропотребление,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/год на 1 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максимума электрической нагрузки, ч/год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городского типа, жилищный фонд в которых не оборудован стационарными электроплитами: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кондиционеров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кондиционерами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городского типа, жилищный фонд в которых оборудован стационарными электроплитами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кондиционеров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кондиционерами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населенные пункты, жилищный фонд (без кондиционеров) которых: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 стационарными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 стационарными электроплитами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</w:tr>
    </w:tbl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Укрупненные показатели электропотребления приводятся для населенных пунктов городского типа, которыми являются поселки городского типа.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Условия применения стационарных электроплит в жилой застройке, а также районы применения населением бытовых кондиционеров принимать в соответствии с СП 54.13330.2016.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2.7. Газоснабжение городских и сельских поселений.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и строительство новых газораспределительных систем, реконструкцию и развитие действующих газораспределительных систем следует осуществлять в соответствии со схемой газоснабжения, разработанной в составе программы газификации Кировской области, в целях обеспечения предусматриваемого программой уровня газификации жилищно-коммунального хозяйства, промышленных и иных организаций.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Газораспределительная система должна обеспечивать подачу газа потребителям в необходимом объеме и требуемых параметров.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коммунально-бытовые нужды населения и производственные нужды и характеристики планируемых к размещению объектов.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расхода природного газа на нужды населения, которые следует использовать в целях градостроительного проектирования в качестве укрупненных показателей расхода (потребления) природного газа, приведены в таблице 8.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AF" w:rsidRDefault="00407CAF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538B" w:rsidRDefault="00B4538B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8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расхода газа м3/год на 1 чел.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газа на индивидуально-бытовые нужды населения (квартира, оборудованная газовой плитой, централизованным горячим водоснабжением)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газа на индивидуально-бытовые нужды населения (квартира, оборудованная газовой плитой и газовым водонагревателем, при отсутствии централизованного горячего водоснабжения)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</w:t>
            </w:r>
          </w:p>
        </w:tc>
      </w:tr>
      <w:tr w:rsidR="00F818E5" w:rsidTr="003C3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газа на индивидуально-бытовые нужды населения (квартира, оборудованная газовой плитой, без централизованного горячего водоснабжения и газового водонагревателя)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</w:tr>
    </w:tbl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Удельные показатели максимальной тепловой нагрузки, расхода газа для различных потребителей следует принимать по нормам СП 124.13330.2012 "Тепловые сети", СП 42-101-2003 "Общие положения по проектированию и строительству газораспределительных систем из металлических и полиэтиленовых труб".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допустимый уровень территориальной доступности объектов не нормируется.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2.8. Автомобильные дороги местного значения вне границ населенных пунктов в границах муниципального района.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минимально допустимого уровня обеспеченности (основные расчетные параметры) автомобильных дорог местного значения вне границ населенных пунктов в границах муниципального района приведены в таблице 9.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5"/>
        <w:gridCol w:w="2835"/>
        <w:gridCol w:w="2835"/>
      </w:tblGrid>
      <w:tr w:rsidR="00F818E5" w:rsidTr="003C376B"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допустимые уровни обеспеченности - основные расчетные параметры для автомобильных дорог</w:t>
            </w:r>
          </w:p>
        </w:tc>
      </w:tr>
      <w:tr w:rsidR="00F818E5" w:rsidTr="003C376B"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категории</w:t>
            </w:r>
          </w:p>
        </w:tc>
      </w:tr>
      <w:tr w:rsidR="00F818E5" w:rsidTr="003C376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 вне границ населенных пунктов, в том числе основные расчетные параметры: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E5" w:rsidTr="003C376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8E5" w:rsidTr="003C376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3,5 - 4,5</w:t>
            </w:r>
          </w:p>
        </w:tc>
      </w:tr>
      <w:tr w:rsidR="00F818E5" w:rsidTr="003C376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разделительная полоса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18E5" w:rsidTr="003C376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пересечения с автодорогами, велосипедными и пешеходными дорожками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 в одном уровне</w:t>
            </w:r>
          </w:p>
        </w:tc>
      </w:tr>
      <w:tr w:rsidR="00F818E5" w:rsidTr="003C376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примыкания в одном уровне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</w:tc>
      </w:tr>
      <w:tr w:rsidR="00F818E5" w:rsidTr="003C376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скорость движения, км/ч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818E5" w:rsidTr="003C376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наименьший радиус кривых в плане,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818E5" w:rsidTr="003C376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продольный уклон,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818E5" w:rsidTr="003C376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</w:tbl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Расчетные показатели автомобильных дорог местного значения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9.1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644"/>
        <w:gridCol w:w="1304"/>
        <w:gridCol w:w="1531"/>
        <w:gridCol w:w="1417"/>
      </w:tblGrid>
      <w:tr w:rsidR="00F818E5" w:rsidTr="003C376B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обеспеченности</w:t>
            </w:r>
          </w:p>
        </w:tc>
      </w:tr>
      <w:tr w:rsidR="00F818E5" w:rsidTr="003C376B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818E5" w:rsidTr="003C376B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 вне границ населенных пунктов в границах муниципального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км/1 км 2 территории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5" w:rsidRDefault="00F818E5" w:rsidP="003C3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Параметры, включая размеры перечисленных элементов улично-дорожной сети, ширину основных улиц и дорог в красных линиях, определяются документами территориального планирования - генеральными планами поселений, входящих в состав </w:t>
      </w:r>
      <w:proofErr w:type="spellStart"/>
      <w:r w:rsidR="00B4538B" w:rsidRP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EA43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A43EE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EA4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E5" w:rsidRDefault="00F818E5" w:rsidP="00F818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местных нормативах установлены расчетные показатели минимально допустимого уровня обеспеченности объектами местного значения района и расчетные показатели максимально допустимого уровня территориальной доступности таких объектов для населения муниципального района с учетом:</w:t>
      </w:r>
    </w:p>
    <w:p w:rsidR="00B4538B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социально-демографического состава и плотности населения, на территории </w:t>
      </w:r>
      <w:proofErr w:type="spellStart"/>
      <w:r w:rsidR="00B4538B" w:rsidRP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EA43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A43EE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EA4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проживает </w:t>
      </w:r>
      <w:r w:rsidR="00B4538B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 xml:space="preserve"> чел.: 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разрабатывающейся стратегии социально-экономического развития </w:t>
      </w:r>
      <w:proofErr w:type="spellStart"/>
      <w:r w:rsidR="00B4538B" w:rsidRP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6E29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E290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органов местного самоуправления </w:t>
      </w:r>
      <w:proofErr w:type="spellStart"/>
      <w:r w:rsidR="00B4538B" w:rsidRP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6E29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E290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заинтересованных лиц;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законодательства, иных градостроительных показателей и норм;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региональных нормативов градостроительного проектирования Кировской области, утвержденных постановлением Правительства Кировской области;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территориального планирования.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Местные нормативы направлены на повышение благоприятных условий жизни населения </w:t>
      </w:r>
      <w:proofErr w:type="spellStart"/>
      <w:r w:rsidR="00B4538B" w:rsidRPr="00B4538B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6E29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E290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6E2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района, устойчивое развитие его территорий.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установленных в </w:t>
      </w:r>
      <w:hyperlink w:anchor="Par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местных нормативах расчетных показателей минимально допустимого уровня обеспеченности объектами и расчетные показатели максимально допустимого уровня территориальной доступности таких объектов: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транспорта: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км.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образования: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км.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физической культуры и спорта: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км.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утилизации и переработки бытовых и промышленных отходов: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км.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объектов в иных областях:</w:t>
      </w:r>
    </w:p>
    <w:p w:rsidR="00F818E5" w:rsidRDefault="00F818E5" w:rsidP="00F818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км.</w:t>
      </w:r>
    </w:p>
    <w:p w:rsidR="00F818E5" w:rsidRPr="00992E6A" w:rsidRDefault="00F818E5" w:rsidP="00F81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8E5" w:rsidRPr="00992E6A" w:rsidRDefault="00F818E5" w:rsidP="00F818E5">
      <w:pPr>
        <w:rPr>
          <w:rFonts w:ascii="Times New Roman" w:hAnsi="Times New Roman" w:cs="Times New Roman"/>
          <w:sz w:val="24"/>
          <w:szCs w:val="24"/>
        </w:rPr>
      </w:pPr>
    </w:p>
    <w:p w:rsidR="00847563" w:rsidRDefault="00847563"/>
    <w:sectPr w:rsidR="00847563" w:rsidSect="00992E6A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2CE5"/>
    <w:multiLevelType w:val="hybridMultilevel"/>
    <w:tmpl w:val="AA5C1FD8"/>
    <w:lvl w:ilvl="0" w:tplc="5404A7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3B"/>
    <w:rsid w:val="00117DF7"/>
    <w:rsid w:val="00407CAF"/>
    <w:rsid w:val="00665A31"/>
    <w:rsid w:val="006E290B"/>
    <w:rsid w:val="00796B3B"/>
    <w:rsid w:val="00847563"/>
    <w:rsid w:val="008D1045"/>
    <w:rsid w:val="00B4538B"/>
    <w:rsid w:val="00C02B63"/>
    <w:rsid w:val="00EA43EE"/>
    <w:rsid w:val="00EF6D0C"/>
    <w:rsid w:val="00F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9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C550984B9E99E2BC79EF7953337EB399CE5335DB525313DB0EA6E1E8BE9F266DD4D7DCCC14EE3253EB6195156F796C7F34DM" TargetMode="External"/><Relationship Id="rId13" Type="http://schemas.openxmlformats.org/officeDocument/2006/relationships/hyperlink" Target="consultantplus://offline/ref=0685A3AFAA3D633EE3288FC5FCFCAB081ABFE95027D91401D80269CA55083BC6B8E36551D933779C1D939823CF7F4021EBF6AA9F5652EFE6uBS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FFAB88F69942AA81735AB461C97DDDC6C700A4B58F22D74481AFF9DAE4EDC1CAA2C3C0B314DB9BC727C27FAA0DQ2N" TargetMode="External"/><Relationship Id="rId12" Type="http://schemas.openxmlformats.org/officeDocument/2006/relationships/hyperlink" Target="consultantplus://offline/ref=0685A3AFAA3D633EE32891C8EA90F70119BDB35924D71F578D556F9D0A583D93F8A3630488762A921A90D27288344F20E1uESA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FAB88F69942AA81735AB461C97DDDC1CE01A8B48B22D74481AFF9DAE4EDC1CAA2C3C0B314DB9BC727C27FAA0DQ2N" TargetMode="External"/><Relationship Id="rId11" Type="http://schemas.openxmlformats.org/officeDocument/2006/relationships/hyperlink" Target="consultantplus://offline/ref=0685A3AFAA3D633EE3288FC5FCFCAB081ABFE95027D91401D80269CA55083BC6B8E36551D933779A1D939823CF7F4021EBF6AA9F5652EFE6uBS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85A3AFAA3D633EE3288FC5FCFCAB081BB3EA5525DB1401D80269CA55083BC6AAE33D5DD83A619F1886CE7289u2S8N" TargetMode="External"/><Relationship Id="rId10" Type="http://schemas.openxmlformats.org/officeDocument/2006/relationships/hyperlink" Target="consultantplus://offline/ref=004C550984B9E99E2BC79EF7953337EB399CE5335DB5213130B4EA6E1E8BE9F266DD4D7DDEC116EF2436A8195B43A1C7816A11C8E81A613963A2E283FD4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4C550984B9E99E2BC79EF7953337EB399CE5335DBC2C3531B1EA6E1E8BE9F266DD4D7DDEC116EF2436A8185643A1C7816A11C8E81A613963A2E283FD48M" TargetMode="External"/><Relationship Id="rId14" Type="http://schemas.openxmlformats.org/officeDocument/2006/relationships/hyperlink" Target="consultantplus://offline/ref=0685A3AFAA3D633EE3288FC5FCFCAB081ABEEA522CDF1401D80269CA55083BC6AAE33D5DD83A619F1886CE7289u2S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Paska</cp:lastModifiedBy>
  <cp:revision>8</cp:revision>
  <cp:lastPrinted>2022-04-14T11:19:00Z</cp:lastPrinted>
  <dcterms:created xsi:type="dcterms:W3CDTF">2022-04-04T10:32:00Z</dcterms:created>
  <dcterms:modified xsi:type="dcterms:W3CDTF">2022-04-15T07:06:00Z</dcterms:modified>
</cp:coreProperties>
</file>